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обращения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жизненный-цикл-обращения"/>
    <w:p>
      <w:pPr>
        <w:pStyle w:val="Heading1"/>
      </w:pPr>
      <w:r>
        <w:t xml:space="preserve">Жизненный цикл обращения</w:t>
      </w:r>
    </w:p>
    <w:bookmarkStart w:id="9" w:name="создание"/>
    <w:p>
      <w:pPr>
        <w:pStyle w:val="Heading2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9"/>
    <w:bookmarkStart w:id="10" w:name="обработка"/>
    <w:p>
      <w:pPr>
        <w:pStyle w:val="Heading2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0"/>
    <w:bookmarkStart w:id="11" w:name="переписка"/>
    <w:p>
      <w:pPr>
        <w:pStyle w:val="Heading2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1"/>
    <w:bookmarkStart w:id="12" w:name="завершение-и-оценка"/>
    <w:p>
      <w:pPr>
        <w:pStyle w:val="Heading2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обращения</dc:title>
  <dc:creator/>
  <cp:keywords/>
  <dcterms:created xsi:type="dcterms:W3CDTF">2026-10-07T10:43:53Z</dcterms:created>
  <dcterms:modified xsi:type="dcterms:W3CDTF">2026-10-07T10:43:53Z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